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FA" w:rsidRPr="008B7DB9" w:rsidRDefault="00A62EFA" w:rsidP="00A13AC0">
      <w:pPr>
        <w:pStyle w:val="AralkYok"/>
        <w:jc w:val="center"/>
        <w:rPr>
          <w:rStyle w:val="Gl"/>
        </w:rPr>
      </w:pPr>
      <w:r w:rsidRPr="008B7DB9">
        <w:rPr>
          <w:rStyle w:val="Gl"/>
        </w:rPr>
        <w:t>T. C.</w:t>
      </w:r>
    </w:p>
    <w:p w:rsidR="00A62EFA" w:rsidRPr="008B7DB9" w:rsidRDefault="00AF3501" w:rsidP="00A13AC0">
      <w:pPr>
        <w:pStyle w:val="AralkYok"/>
        <w:jc w:val="center"/>
        <w:rPr>
          <w:rStyle w:val="Gl"/>
        </w:rPr>
      </w:pPr>
      <w:r>
        <w:rPr>
          <w:rStyle w:val="Gl"/>
        </w:rPr>
        <w:t>KÜLTÜR VE</w:t>
      </w:r>
      <w:r w:rsidR="00A62EFA" w:rsidRPr="008B7DB9">
        <w:rPr>
          <w:rStyle w:val="Gl"/>
        </w:rPr>
        <w:t xml:space="preserve"> </w:t>
      </w:r>
      <w:r w:rsidR="004476A1">
        <w:rPr>
          <w:rStyle w:val="Gl"/>
        </w:rPr>
        <w:t xml:space="preserve">TURİZM </w:t>
      </w:r>
      <w:r w:rsidR="00A62EFA" w:rsidRPr="008B7DB9">
        <w:rPr>
          <w:rStyle w:val="Gl"/>
        </w:rPr>
        <w:t>BAKANLIĞI</w:t>
      </w:r>
    </w:p>
    <w:p w:rsidR="00A62EFA" w:rsidRPr="008B7DB9" w:rsidRDefault="00AF3501" w:rsidP="00A13AC0">
      <w:pPr>
        <w:pStyle w:val="AralkYok"/>
        <w:jc w:val="center"/>
        <w:rPr>
          <w:rStyle w:val="Gl"/>
        </w:rPr>
      </w:pPr>
      <w:r>
        <w:rPr>
          <w:rStyle w:val="Gl"/>
        </w:rPr>
        <w:t>UŞAK İL KÜLTÜR VE TURİZM MÜDÜRLÜĞÜ</w:t>
      </w:r>
    </w:p>
    <w:p w:rsidR="00A62EFA" w:rsidRPr="008B7DB9" w:rsidRDefault="00A62EFA" w:rsidP="00A13AC0">
      <w:pPr>
        <w:pStyle w:val="AralkYok"/>
        <w:jc w:val="center"/>
        <w:rPr>
          <w:rStyle w:val="Gl"/>
        </w:rPr>
      </w:pPr>
    </w:p>
    <w:p w:rsidR="00A62EFA" w:rsidRPr="00341E73" w:rsidRDefault="00F2601E" w:rsidP="00A13AC0">
      <w:pPr>
        <w:shd w:val="clear" w:color="auto" w:fill="FFFFFF"/>
        <w:spacing w:line="270" w:lineRule="atLeast"/>
        <w:jc w:val="center"/>
        <w:rPr>
          <w:b/>
          <w:bCs/>
          <w:color w:val="000000"/>
        </w:rPr>
      </w:pPr>
      <w:r>
        <w:rPr>
          <w:b/>
        </w:rPr>
        <w:t>KAFETERYA</w:t>
      </w:r>
      <w:r w:rsidR="00A62EFA" w:rsidRPr="00341E73">
        <w:rPr>
          <w:b/>
        </w:rPr>
        <w:t xml:space="preserve"> KİRALAMA İŞİ</w:t>
      </w:r>
      <w:r w:rsidR="00341E73" w:rsidRPr="00341E73">
        <w:rPr>
          <w:b/>
        </w:rPr>
        <w:t xml:space="preserve"> İ</w:t>
      </w:r>
      <w:r w:rsidR="00A62EFA" w:rsidRPr="00341E73">
        <w:rPr>
          <w:b/>
          <w:bCs/>
          <w:color w:val="000000"/>
        </w:rPr>
        <w:t>HALESİ</w:t>
      </w:r>
    </w:p>
    <w:p w:rsidR="00341E73" w:rsidRDefault="00341E73" w:rsidP="00A13AC0">
      <w:pPr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666666"/>
          <w:sz w:val="18"/>
          <w:szCs w:val="18"/>
        </w:rPr>
      </w:pPr>
    </w:p>
    <w:p w:rsidR="00A62EFA" w:rsidRPr="00341E73" w:rsidRDefault="00A26F5C" w:rsidP="00A13AC0">
      <w:pPr>
        <w:pStyle w:val="AralkYok"/>
        <w:jc w:val="both"/>
      </w:pPr>
      <w:r>
        <w:br/>
        <w:t xml:space="preserve">KAFETERYA </w:t>
      </w:r>
      <w:r w:rsidR="00A62EFA" w:rsidRPr="00341E73">
        <w:t>KİRALAMA İŞİ</w:t>
      </w:r>
      <w:r w:rsidR="009C475E">
        <w:t xml:space="preserve"> için</w:t>
      </w:r>
      <w:r w:rsidR="00A62EFA" w:rsidRPr="00341E73">
        <w:t xml:space="preserve"> </w:t>
      </w:r>
      <w:r w:rsidR="00575BC0" w:rsidRPr="002457EB">
        <w:t>2886 sayılı Devlet İhale Kanunu hükümleri çerçevesinde Kanunun 51/ g Maddesine göre</w:t>
      </w:r>
      <w:r w:rsidR="00A62EFA" w:rsidRPr="00341E73">
        <w:t xml:space="preserve"> </w:t>
      </w:r>
      <w:r w:rsidR="009C475E">
        <w:t>“</w:t>
      </w:r>
      <w:r w:rsidR="00575BC0">
        <w:t>Pazarlık</w:t>
      </w:r>
      <w:r w:rsidR="00A62EFA" w:rsidRPr="00341E73">
        <w:t xml:space="preserve"> Usulü</w:t>
      </w:r>
      <w:r w:rsidR="009C475E">
        <w:t>”</w:t>
      </w:r>
      <w:r w:rsidR="004476A1">
        <w:t xml:space="preserve"> ile ihale edilecektir. </w:t>
      </w:r>
      <w:r w:rsidR="00A62EFA" w:rsidRPr="00341E73">
        <w:t>İhaleye ilişkin ayrıntılı bilgiler aşağıda yer almaktadır: </w:t>
      </w:r>
    </w:p>
    <w:p w:rsidR="00A62EFA" w:rsidRDefault="00A62EFA" w:rsidP="00A13AC0">
      <w:pPr>
        <w:jc w:val="both"/>
      </w:pPr>
    </w:p>
    <w:tbl>
      <w:tblPr>
        <w:tblW w:w="5118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130"/>
        <w:gridCol w:w="6465"/>
      </w:tblGrid>
      <w:tr w:rsidR="00A62EFA" w:rsidTr="00341E73">
        <w:trPr>
          <w:tblCellSpacing w:w="15" w:type="dxa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Default="00A62EFA" w:rsidP="00A13AC0">
            <w:pPr>
              <w:jc w:val="both"/>
            </w:pPr>
            <w:r>
              <w:t>İhale Onay Numarası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Default="00A62EFA" w:rsidP="00A13AC0">
            <w:pPr>
              <w:jc w:val="both"/>
            </w:pPr>
            <w:r>
              <w:t>: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Default="001F3A41" w:rsidP="00483F2A">
            <w:pPr>
              <w:jc w:val="both"/>
            </w:pPr>
            <w:r>
              <w:t>2021</w:t>
            </w:r>
            <w:r w:rsidR="00483F2A">
              <w:t>/</w:t>
            </w:r>
            <w:r w:rsidR="005C5EF4">
              <w:t>2</w:t>
            </w:r>
          </w:p>
        </w:tc>
      </w:tr>
    </w:tbl>
    <w:p w:rsidR="00A62EFA" w:rsidRPr="00341E73" w:rsidRDefault="00A62EFA" w:rsidP="00A13AC0">
      <w:pPr>
        <w:jc w:val="both"/>
      </w:pPr>
      <w:r w:rsidRPr="00341E73">
        <w:rPr>
          <w:rStyle w:val="ilanbaslik"/>
          <w:b/>
          <w:bCs/>
          <w:color w:val="003366"/>
          <w:bdr w:val="single" w:sz="6" w:space="2" w:color="D7D7D7" w:frame="1"/>
          <w:shd w:val="clear" w:color="auto" w:fill="FFFFFF"/>
        </w:rPr>
        <w:t>1-İdarenin</w:t>
      </w:r>
    </w:p>
    <w:tbl>
      <w:tblPr>
        <w:tblW w:w="5155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128"/>
        <w:gridCol w:w="6542"/>
      </w:tblGrid>
      <w:tr w:rsidR="00341E73" w:rsidRPr="00B7362B" w:rsidTr="00341E73">
        <w:trPr>
          <w:tblCellSpacing w:w="15" w:type="dxa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Pr="00B7362B" w:rsidRDefault="00A62EFA" w:rsidP="00A13AC0">
            <w:pPr>
              <w:jc w:val="both"/>
            </w:pPr>
            <w:r w:rsidRPr="00B7362B">
              <w:rPr>
                <w:b/>
                <w:bCs/>
              </w:rPr>
              <w:t>a)</w:t>
            </w:r>
            <w:r w:rsidRPr="00B7362B">
              <w:rPr>
                <w:rStyle w:val="apple-converted-space"/>
                <w:color w:val="666666"/>
              </w:rPr>
              <w:t> </w:t>
            </w:r>
            <w:r w:rsidRPr="00B7362B">
              <w:t>Adresi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Pr="00B7362B" w:rsidRDefault="00A62EFA" w:rsidP="00A13AC0">
            <w:pPr>
              <w:jc w:val="both"/>
            </w:pPr>
            <w:r w:rsidRPr="00B7362B">
              <w:t>: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575BC0" w:rsidRDefault="00575BC0" w:rsidP="00A13AC0">
            <w:pPr>
              <w:jc w:val="both"/>
            </w:pPr>
            <w:r w:rsidRPr="00575BC0">
              <w:rPr>
                <w:shd w:val="clear" w:color="auto" w:fill="FFFFFF"/>
              </w:rPr>
              <w:t>Ünalan Mahallesi, Hakkı Yağcı Cd. No:56, 64100 Uşak Merkez/Uşak</w:t>
            </w:r>
          </w:p>
        </w:tc>
      </w:tr>
      <w:tr w:rsidR="00341E73" w:rsidRPr="00B7362B" w:rsidTr="00341E73">
        <w:trPr>
          <w:tblCellSpacing w:w="15" w:type="dxa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Pr="00B7362B" w:rsidRDefault="00A62EFA" w:rsidP="00A13AC0">
            <w:pPr>
              <w:jc w:val="both"/>
            </w:pPr>
            <w:r w:rsidRPr="00B7362B">
              <w:rPr>
                <w:b/>
                <w:bCs/>
              </w:rPr>
              <w:t>b)</w:t>
            </w:r>
            <w:r w:rsidRPr="00B7362B">
              <w:rPr>
                <w:rStyle w:val="apple-converted-space"/>
                <w:color w:val="666666"/>
              </w:rPr>
              <w:t> </w:t>
            </w:r>
            <w:r w:rsidRPr="00B7362B">
              <w:t>Telefon ve faks numarası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Pr="00B7362B" w:rsidRDefault="00A62EFA" w:rsidP="00A13AC0">
            <w:pPr>
              <w:jc w:val="both"/>
            </w:pPr>
            <w:r w:rsidRPr="00B7362B">
              <w:t>: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5B03EE" w:rsidRDefault="005B03EE" w:rsidP="00A13AC0">
            <w:pPr>
              <w:jc w:val="both"/>
            </w:pPr>
            <w:r w:rsidRPr="005B03EE">
              <w:rPr>
                <w:rStyle w:val="idarebilgi"/>
                <w:bCs/>
              </w:rPr>
              <w:t xml:space="preserve">0276 223 71 00 </w:t>
            </w:r>
            <w:r>
              <w:rPr>
                <w:rStyle w:val="idarebilgi"/>
                <w:bCs/>
              </w:rPr>
              <w:t>–</w:t>
            </w:r>
            <w:r w:rsidRPr="005B03EE">
              <w:rPr>
                <w:rStyle w:val="idarebilgi"/>
                <w:bCs/>
              </w:rPr>
              <w:t xml:space="preserve"> </w:t>
            </w:r>
            <w:r>
              <w:rPr>
                <w:rStyle w:val="idarebilgi"/>
                <w:bCs/>
              </w:rPr>
              <w:t>0276 223 59 01</w:t>
            </w:r>
          </w:p>
        </w:tc>
      </w:tr>
      <w:tr w:rsidR="00341E73" w:rsidRPr="00B7362B" w:rsidTr="00341E73">
        <w:trPr>
          <w:tblCellSpacing w:w="15" w:type="dxa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B7362B" w:rsidRDefault="005B03EE" w:rsidP="00A13AC0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A62EFA" w:rsidRPr="00B7362B">
              <w:rPr>
                <w:b/>
                <w:bCs/>
              </w:rPr>
              <w:t>c)</w:t>
            </w:r>
            <w:r w:rsidR="00A62EFA" w:rsidRPr="00B7362B">
              <w:rPr>
                <w:rStyle w:val="apple-converted-space"/>
                <w:color w:val="666666"/>
              </w:rPr>
              <w:t> </w:t>
            </w:r>
            <w:r w:rsidR="00A62EFA" w:rsidRPr="00B7362B">
              <w:t>Elektronik Posta Adresi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B7362B" w:rsidRDefault="00A62EFA" w:rsidP="00A13AC0">
            <w:pPr>
              <w:jc w:val="both"/>
            </w:pPr>
            <w:r w:rsidRPr="00B7362B">
              <w:t>: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5B03EE" w:rsidRDefault="005B03EE" w:rsidP="00A13AC0">
            <w:pPr>
              <w:jc w:val="both"/>
            </w:pPr>
            <w:r w:rsidRPr="005B03EE">
              <w:rPr>
                <w:rStyle w:val="idarebilgi"/>
                <w:bCs/>
              </w:rPr>
              <w:t>usak.kultur@</w:t>
            </w:r>
            <w:r w:rsidR="00A62EFA" w:rsidRPr="005B03EE">
              <w:rPr>
                <w:rStyle w:val="idarebilgi"/>
                <w:bCs/>
              </w:rPr>
              <w:t>k</w:t>
            </w:r>
            <w:r w:rsidR="00B46CDF">
              <w:rPr>
                <w:rStyle w:val="idarebilgi"/>
                <w:bCs/>
              </w:rPr>
              <w:t>tb</w:t>
            </w:r>
            <w:r w:rsidR="00A62EFA" w:rsidRPr="005B03EE">
              <w:rPr>
                <w:rStyle w:val="idarebilgi"/>
                <w:bCs/>
              </w:rPr>
              <w:t>.gov.tr</w:t>
            </w:r>
          </w:p>
        </w:tc>
      </w:tr>
    </w:tbl>
    <w:p w:rsidR="00CA5A83" w:rsidRPr="00341E73" w:rsidRDefault="00CA5A83" w:rsidP="00A13AC0">
      <w:pPr>
        <w:jc w:val="both"/>
        <w:rPr>
          <w:b/>
          <w:color w:val="666666"/>
        </w:rPr>
      </w:pPr>
      <w:r w:rsidRPr="00341E73">
        <w:rPr>
          <w:rStyle w:val="ilanbaslik"/>
          <w:b/>
          <w:bCs/>
          <w:color w:val="003366"/>
          <w:bdr w:val="single" w:sz="6" w:space="2" w:color="D7D7D7" w:frame="1"/>
          <w:shd w:val="clear" w:color="auto" w:fill="FFFFFF"/>
        </w:rPr>
        <w:t xml:space="preserve">2-İhalenin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00"/>
        <w:gridCol w:w="207"/>
        <w:gridCol w:w="6353"/>
      </w:tblGrid>
      <w:tr w:rsidR="009C475E" w:rsidTr="00F676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 xml:space="preserve">a)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Taşınmazın No.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A13AC0" w:rsidRDefault="00264149" w:rsidP="00A13AC0">
            <w:pPr>
              <w:jc w:val="both"/>
            </w:pPr>
            <w:r>
              <w:t>64010100059</w:t>
            </w:r>
          </w:p>
        </w:tc>
      </w:tr>
      <w:tr w:rsidR="009C475E" w:rsidTr="00F676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>b)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Pafta / Ada / Parsel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5B03EE" w:rsidP="00A13AC0">
            <w:pPr>
              <w:jc w:val="both"/>
              <w:rPr>
                <w:b/>
                <w:color w:val="0070C0"/>
              </w:rPr>
            </w:pPr>
            <w:r w:rsidRPr="002457EB">
              <w:t>29-L-II-c</w:t>
            </w:r>
            <w:r w:rsidRPr="002457EB">
              <w:rPr>
                <w:color w:val="FF0000"/>
              </w:rPr>
              <w:t xml:space="preserve"> </w:t>
            </w:r>
            <w:r w:rsidRPr="002457EB">
              <w:t>pafta, 23 ada, 7 parsel</w:t>
            </w:r>
          </w:p>
        </w:tc>
      </w:tr>
      <w:tr w:rsidR="009C475E" w:rsidTr="00F676AE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>c)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Kiralanacak Kısım / Alan  m2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75E" w:rsidRPr="009C475E" w:rsidRDefault="005B03EE" w:rsidP="00A13AC0">
            <w:pPr>
              <w:jc w:val="both"/>
              <w:rPr>
                <w:b/>
                <w:color w:val="0070C0"/>
              </w:rPr>
            </w:pPr>
            <w:r>
              <w:t>Uşak Arkeoloji Müzesi 75.76 M² kapalı ve 250 M² açık k</w:t>
            </w:r>
            <w:r w:rsidRPr="005B03EE">
              <w:t xml:space="preserve">ullanım alanlı Kafeterya </w:t>
            </w:r>
            <w:r w:rsidR="009C475E" w:rsidRPr="005B03EE">
              <w:t>olup, İşin nevi şartnamelerde belirtilmiştir.</w:t>
            </w:r>
            <w:r w:rsidR="009C475E" w:rsidRPr="009C475E">
              <w:rPr>
                <w:b/>
                <w:color w:val="0070C0"/>
              </w:rPr>
              <w:t xml:space="preserve"> </w:t>
            </w:r>
          </w:p>
        </w:tc>
      </w:tr>
      <w:tr w:rsidR="009C475E" w:rsidTr="00F676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>d)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Kullanım Amacı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5B03EE" w:rsidRDefault="009C475E" w:rsidP="00A13AC0">
            <w:pPr>
              <w:jc w:val="both"/>
            </w:pPr>
            <w:r w:rsidRPr="005B03EE">
              <w:t>Kafeterya</w:t>
            </w:r>
          </w:p>
        </w:tc>
      </w:tr>
      <w:tr w:rsidR="009C475E" w:rsidTr="00F676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>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Süresi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5B03EE" w:rsidRDefault="005B03EE" w:rsidP="00A13AC0">
            <w:pPr>
              <w:jc w:val="both"/>
            </w:pPr>
            <w:r w:rsidRPr="005B03EE">
              <w:t>Süre yer teslim tarihinden itibaren 36 a</w:t>
            </w:r>
            <w:r w:rsidR="009C475E" w:rsidRPr="005B03EE">
              <w:t>y</w:t>
            </w:r>
            <w:r w:rsidRPr="005B03EE">
              <w:t xml:space="preserve"> (3 yıl) </w:t>
            </w:r>
            <w:r w:rsidR="009C475E" w:rsidRPr="005B03EE">
              <w:t>dır.</w:t>
            </w:r>
          </w:p>
        </w:tc>
      </w:tr>
      <w:tr w:rsidR="009C475E" w:rsidTr="00F676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>f)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Muhammen Bedeli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FFC" w:rsidRDefault="00F307B0" w:rsidP="00F676AE">
            <w:pPr>
              <w:ind w:right="-921"/>
              <w:jc w:val="both"/>
            </w:pPr>
            <w:r>
              <w:t>Aylık 1.000</w:t>
            </w:r>
            <w:r w:rsidR="001F3A41">
              <w:t xml:space="preserve"> TL, İl</w:t>
            </w:r>
            <w:r w:rsidR="00F676AE">
              <w:t xml:space="preserve">k yıl, </w:t>
            </w:r>
            <w:r>
              <w:t>12</w:t>
            </w:r>
            <w:r w:rsidR="002E0804">
              <w:t>.000</w:t>
            </w:r>
            <w:r w:rsidR="00F676AE">
              <w:t xml:space="preserve"> </w:t>
            </w:r>
            <w:r w:rsidR="00492D37">
              <w:t>TL</w:t>
            </w:r>
            <w:r w:rsidR="00F676AE">
              <w:t xml:space="preserve">, </w:t>
            </w:r>
            <w:r w:rsidR="0023750A" w:rsidRPr="0023750A">
              <w:t>36</w:t>
            </w:r>
            <w:r w:rsidR="00F676AE">
              <w:t xml:space="preserve"> a</w:t>
            </w:r>
            <w:r w:rsidR="009C475E" w:rsidRPr="0023750A">
              <w:t xml:space="preserve">y </w:t>
            </w:r>
            <w:r w:rsidR="004E3F14" w:rsidRPr="0023750A">
              <w:t>t</w:t>
            </w:r>
            <w:r w:rsidR="009C475E" w:rsidRPr="0023750A">
              <w:t xml:space="preserve">oplam </w:t>
            </w:r>
            <w:r w:rsidR="004E3F14" w:rsidRPr="0023750A">
              <w:t>tahmini b</w:t>
            </w:r>
            <w:r w:rsidR="009C475E" w:rsidRPr="0023750A">
              <w:t>edel</w:t>
            </w:r>
          </w:p>
          <w:p w:rsidR="009C475E" w:rsidRPr="0023750A" w:rsidRDefault="00F307B0" w:rsidP="00F676AE">
            <w:pPr>
              <w:ind w:right="-921"/>
              <w:jc w:val="both"/>
            </w:pPr>
            <w:r>
              <w:t xml:space="preserve"> 36</w:t>
            </w:r>
            <w:r w:rsidR="002E0804">
              <w:t>.000</w:t>
            </w:r>
            <w:r w:rsidR="00492D37">
              <w:t xml:space="preserve"> TL</w:t>
            </w:r>
            <w:r w:rsidR="009C475E" w:rsidRPr="0023750A">
              <w:t>.</w:t>
            </w:r>
            <w:r w:rsidR="00F676AE">
              <w:t xml:space="preserve"> (Kdv Dahil)</w:t>
            </w:r>
          </w:p>
        </w:tc>
      </w:tr>
      <w:tr w:rsidR="00CC5FFC" w:rsidTr="00F676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FFC" w:rsidRPr="009C475E" w:rsidRDefault="00CC5FFC" w:rsidP="00A13AC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FFC" w:rsidRDefault="00CC5FFC" w:rsidP="00A13AC0">
            <w:pPr>
              <w:jc w:val="both"/>
              <w:rPr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FFC" w:rsidRDefault="00CC5FFC" w:rsidP="00A13AC0">
            <w:pPr>
              <w:jc w:val="both"/>
              <w:rPr>
                <w:color w:val="000000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FFC" w:rsidRDefault="00CC5FFC" w:rsidP="00F676AE">
            <w:pPr>
              <w:ind w:right="-921"/>
              <w:jc w:val="both"/>
            </w:pPr>
          </w:p>
        </w:tc>
      </w:tr>
      <w:tr w:rsidR="009C475E" w:rsidTr="00F676A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>g)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Geçici Teminat Tutarı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23750A" w:rsidRDefault="00F307B0" w:rsidP="002E0804">
            <w:pPr>
              <w:jc w:val="both"/>
            </w:pPr>
            <w:r>
              <w:t xml:space="preserve"> 36</w:t>
            </w:r>
            <w:r w:rsidR="001F3A41">
              <w:t>0</w:t>
            </w:r>
            <w:r w:rsidR="002E0804">
              <w:t xml:space="preserve"> </w:t>
            </w:r>
            <w:r w:rsidR="00492D37">
              <w:t>TL(</w:t>
            </w:r>
            <w:r>
              <w:t>Üçyüzaltmış</w:t>
            </w:r>
            <w:r w:rsidR="009C475E" w:rsidRPr="0023750A">
              <w:t>)</w:t>
            </w:r>
            <w:r w:rsidR="002E0804">
              <w:t xml:space="preserve"> </w:t>
            </w:r>
          </w:p>
        </w:tc>
      </w:tr>
    </w:tbl>
    <w:p w:rsidR="00A62EFA" w:rsidRPr="00B7362B" w:rsidRDefault="00A62EFA" w:rsidP="00A13AC0">
      <w:pPr>
        <w:jc w:val="both"/>
      </w:pPr>
      <w:r w:rsidRPr="00B7362B">
        <w:rPr>
          <w:rStyle w:val="ilanbaslik"/>
          <w:b/>
          <w:bCs/>
          <w:color w:val="003366"/>
          <w:bdr w:val="single" w:sz="6" w:space="2" w:color="D7D7D7" w:frame="1"/>
          <w:shd w:val="clear" w:color="auto" w:fill="FFFFFF"/>
        </w:rPr>
        <w:t>3- İhalenin</w:t>
      </w:r>
      <w:r w:rsidR="00B7362B">
        <w:rPr>
          <w:rStyle w:val="ilanbaslik"/>
          <w:b/>
          <w:bCs/>
          <w:color w:val="003366"/>
          <w:bdr w:val="single" w:sz="6" w:space="2" w:color="D7D7D7" w:frame="1"/>
          <w:shd w:val="clear" w:color="auto" w:fill="FFFFFF"/>
        </w:rPr>
        <w:t xml:space="preserve">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130"/>
        <w:gridCol w:w="6236"/>
      </w:tblGrid>
      <w:tr w:rsidR="00341E73" w:rsidTr="00341E73">
        <w:trPr>
          <w:tblCellSpacing w:w="15" w:type="dxa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Default="00A62EFA" w:rsidP="00A13AC0">
            <w:pPr>
              <w:jc w:val="both"/>
            </w:pPr>
            <w:r>
              <w:rPr>
                <w:b/>
                <w:bCs/>
              </w:rPr>
              <w:t>a)</w:t>
            </w:r>
            <w:r>
              <w:rPr>
                <w:rStyle w:val="apple-converted-space"/>
                <w:rFonts w:ascii="Verdana" w:hAnsi="Verdana"/>
                <w:color w:val="666666"/>
                <w:sz w:val="18"/>
                <w:szCs w:val="18"/>
              </w:rPr>
              <w:t> </w:t>
            </w:r>
            <w:r>
              <w:t>Yapılacağı yer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Default="00A62EFA" w:rsidP="00A13AC0">
            <w:pPr>
              <w:jc w:val="both"/>
            </w:pPr>
            <w:r>
              <w:t>: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37" w:rsidRPr="00341E73" w:rsidRDefault="002E0804" w:rsidP="00A13AC0">
            <w:pPr>
              <w:jc w:val="both"/>
            </w:pPr>
            <w:r>
              <w:t xml:space="preserve">Uşak İl Kültür ve Turizm Müdürlüğü - Ünalan Mah. Hakkı Yağcı Cad. No:56 UŞAK </w:t>
            </w:r>
          </w:p>
        </w:tc>
      </w:tr>
      <w:tr w:rsidR="00341E73" w:rsidTr="00341E73">
        <w:trPr>
          <w:tblCellSpacing w:w="15" w:type="dxa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Default="00A62EFA" w:rsidP="00A13AC0">
            <w:pPr>
              <w:jc w:val="both"/>
            </w:pPr>
            <w:r>
              <w:rPr>
                <w:b/>
                <w:bCs/>
              </w:rPr>
              <w:t>b)</w:t>
            </w:r>
            <w:r>
              <w:rPr>
                <w:rStyle w:val="apple-converted-space"/>
                <w:rFonts w:ascii="Verdana" w:hAnsi="Verdana"/>
                <w:color w:val="666666"/>
                <w:sz w:val="18"/>
                <w:szCs w:val="18"/>
              </w:rPr>
              <w:t> </w:t>
            </w:r>
            <w:r>
              <w:t>Tarihi ve saati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Default="00A62EFA" w:rsidP="00A13AC0">
            <w:pPr>
              <w:jc w:val="both"/>
            </w:pPr>
            <w:r>
              <w:t>: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341E73" w:rsidRDefault="00D2751D" w:rsidP="00D2751D">
            <w:pPr>
              <w:jc w:val="both"/>
            </w:pPr>
            <w:r>
              <w:t>1</w:t>
            </w:r>
            <w:r w:rsidR="00F4628F">
              <w:t>3.0</w:t>
            </w:r>
            <w:r>
              <w:t>4</w:t>
            </w:r>
            <w:bookmarkStart w:id="0" w:name="_GoBack"/>
            <w:bookmarkEnd w:id="0"/>
            <w:r w:rsidR="00F4628F">
              <w:t>.2021</w:t>
            </w:r>
            <w:r w:rsidR="00492D37">
              <w:t xml:space="preserve"> </w:t>
            </w:r>
            <w:r w:rsidR="002E0804">
              <w:t>Salı, Saat 10</w:t>
            </w:r>
            <w:r w:rsidR="00492D37">
              <w:t>:</w:t>
            </w:r>
            <w:r w:rsidR="002E0804">
              <w:t>3</w:t>
            </w:r>
            <w:r w:rsidR="00CC5FFC">
              <w:t>0</w:t>
            </w:r>
          </w:p>
        </w:tc>
      </w:tr>
    </w:tbl>
    <w:p w:rsidR="00341E73" w:rsidRDefault="00341E73" w:rsidP="00A13AC0">
      <w:pPr>
        <w:jc w:val="both"/>
        <w:rPr>
          <w:rFonts w:ascii="Verdana" w:hAnsi="Verdana"/>
          <w:color w:val="666666"/>
          <w:sz w:val="18"/>
          <w:szCs w:val="18"/>
        </w:rPr>
      </w:pPr>
    </w:p>
    <w:p w:rsidR="009C475E" w:rsidRDefault="00A62EFA" w:rsidP="00A13AC0">
      <w:pPr>
        <w:jc w:val="both"/>
      </w:pPr>
      <w:r w:rsidRPr="009C475E">
        <w:rPr>
          <w:b/>
        </w:rPr>
        <w:t>4.</w:t>
      </w:r>
      <w:r w:rsidRPr="00341E73">
        <w:rPr>
          <w:b/>
          <w:bCs/>
          <w:color w:val="666666"/>
          <w:shd w:val="clear" w:color="auto" w:fill="FFFFFF"/>
        </w:rPr>
        <w:t xml:space="preserve"> </w:t>
      </w:r>
      <w:r w:rsidRPr="009C475E">
        <w:t>İhaleye katılabilme şartları ve istenilen belgeler ile yeterlik değerlendirmesinde uygulanacak kriterler:</w:t>
      </w:r>
    </w:p>
    <w:p w:rsidR="009C475E" w:rsidRDefault="009C475E" w:rsidP="00A13AC0">
      <w:pPr>
        <w:jc w:val="both"/>
        <w:rPr>
          <w:b/>
        </w:rPr>
      </w:pPr>
      <w:r w:rsidRPr="009C475E">
        <w:rPr>
          <w:b/>
        </w:rPr>
        <w:t>4.1.</w:t>
      </w:r>
      <w:r>
        <w:t xml:space="preserve"> </w:t>
      </w:r>
      <w:r w:rsidRPr="00AC163A">
        <w:rPr>
          <w:b/>
        </w:rPr>
        <w:t>Gerçek Kişiler</w:t>
      </w:r>
    </w:p>
    <w:p w:rsidR="009C475E" w:rsidRDefault="009C475E" w:rsidP="00A13AC0">
      <w:pPr>
        <w:spacing w:line="300" w:lineRule="atLeast"/>
        <w:ind w:left="708"/>
        <w:jc w:val="both"/>
      </w:pPr>
      <w:r w:rsidRPr="007D7535">
        <w:rPr>
          <w:b/>
        </w:rPr>
        <w:t>a</w:t>
      </w:r>
      <w:r>
        <w:t>. Nüfus cüzdanı sureti.(muhtarlık veya nüfus müdürlüğü)</w:t>
      </w:r>
    </w:p>
    <w:p w:rsidR="009C475E" w:rsidRDefault="009C475E" w:rsidP="00A13AC0">
      <w:pPr>
        <w:spacing w:line="300" w:lineRule="atLeast"/>
        <w:ind w:left="708"/>
        <w:jc w:val="both"/>
      </w:pPr>
      <w:r w:rsidRPr="007D7535">
        <w:rPr>
          <w:b/>
        </w:rPr>
        <w:t>b</w:t>
      </w:r>
      <w:r>
        <w:t>. İkametgah belgesi</w:t>
      </w:r>
    </w:p>
    <w:p w:rsidR="009C475E" w:rsidRDefault="009C475E" w:rsidP="00A13AC0">
      <w:pPr>
        <w:spacing w:line="300" w:lineRule="atLeast"/>
        <w:ind w:left="708"/>
        <w:jc w:val="both"/>
      </w:pPr>
      <w:r>
        <w:rPr>
          <w:b/>
        </w:rPr>
        <w:t>c</w:t>
      </w:r>
      <w:r>
        <w:t>. Noterden onaylı imza sirküleri</w:t>
      </w:r>
    </w:p>
    <w:p w:rsidR="00A13AC0" w:rsidRDefault="009C475E" w:rsidP="00A13AC0">
      <w:pPr>
        <w:spacing w:line="300" w:lineRule="atLeast"/>
        <w:ind w:left="708"/>
        <w:jc w:val="both"/>
      </w:pPr>
      <w:r>
        <w:rPr>
          <w:b/>
        </w:rPr>
        <w:t>d</w:t>
      </w:r>
      <w:r>
        <w:t>. Vekaleten katılıyorsa vekaletname ve imza sirküleri</w:t>
      </w:r>
    </w:p>
    <w:p w:rsidR="009C475E" w:rsidRPr="009C475E" w:rsidRDefault="009C475E" w:rsidP="00A13AC0">
      <w:pPr>
        <w:jc w:val="both"/>
        <w:rPr>
          <w:b/>
        </w:rPr>
      </w:pPr>
      <w:r>
        <w:rPr>
          <w:b/>
        </w:rPr>
        <w:t xml:space="preserve">4.2. </w:t>
      </w:r>
      <w:r w:rsidRPr="009C475E">
        <w:rPr>
          <w:b/>
        </w:rPr>
        <w:t>Tüzel Kişiler</w:t>
      </w:r>
    </w:p>
    <w:p w:rsidR="009C475E" w:rsidRDefault="009C475E" w:rsidP="00A13AC0">
      <w:pPr>
        <w:spacing w:line="300" w:lineRule="atLeast"/>
        <w:ind w:left="708"/>
        <w:jc w:val="both"/>
      </w:pPr>
      <w:r w:rsidRPr="007D7535">
        <w:rPr>
          <w:b/>
        </w:rPr>
        <w:t>a</w:t>
      </w:r>
      <w:r w:rsidRPr="00654935">
        <w:t>.</w:t>
      </w:r>
      <w:r>
        <w:t xml:space="preserve"> Faaliyet belgesi (Ticaret ve Sanayi Odası v.b)</w:t>
      </w:r>
    </w:p>
    <w:p w:rsidR="009C475E" w:rsidRDefault="005B03EE" w:rsidP="00A13AC0">
      <w:pPr>
        <w:spacing w:line="300" w:lineRule="atLeast"/>
        <w:ind w:left="708"/>
        <w:jc w:val="both"/>
      </w:pPr>
      <w:r>
        <w:rPr>
          <w:b/>
        </w:rPr>
        <w:t xml:space="preserve"> </w:t>
      </w:r>
      <w:r w:rsidR="009C475E" w:rsidRPr="007D7535">
        <w:rPr>
          <w:b/>
        </w:rPr>
        <w:t>b</w:t>
      </w:r>
      <w:r w:rsidR="009C475E">
        <w:t>. Noterden onaylı imza sirküleri</w:t>
      </w:r>
    </w:p>
    <w:p w:rsidR="009C475E" w:rsidRDefault="009C475E" w:rsidP="00A13AC0">
      <w:pPr>
        <w:spacing w:line="300" w:lineRule="atLeast"/>
        <w:ind w:left="708"/>
        <w:jc w:val="both"/>
      </w:pPr>
      <w:r w:rsidRPr="007D7535">
        <w:rPr>
          <w:b/>
        </w:rPr>
        <w:t>c</w:t>
      </w:r>
      <w:r>
        <w:t>. Şirket adına İhaleye katılacak kişilerin, bu şirketin vekili olduğuna dair noter onaylı vekaletname ve</w:t>
      </w:r>
      <w:r w:rsidRPr="00654935">
        <w:t xml:space="preserve"> </w:t>
      </w:r>
      <w:r>
        <w:t>imza sirküleri</w:t>
      </w:r>
    </w:p>
    <w:p w:rsidR="00A13AC0" w:rsidRPr="009C475E" w:rsidRDefault="009C475E" w:rsidP="00A13AC0">
      <w:pPr>
        <w:spacing w:after="240" w:line="300" w:lineRule="atLeast"/>
        <w:jc w:val="both"/>
      </w:pPr>
      <w:r>
        <w:rPr>
          <w:b/>
        </w:rPr>
        <w:t>5.</w:t>
      </w:r>
      <w:r w:rsidRPr="009C475E">
        <w:rPr>
          <w:b/>
        </w:rPr>
        <w:t xml:space="preserve"> </w:t>
      </w:r>
      <w:r w:rsidRPr="009C475E">
        <w:t xml:space="preserve">Sabıka kaydı olmadığına dair belge (Ateşli silahlarla işlenen cürümler ile taksirli suçlar hariç olmak üzere, affa uğramış olsalar bile 1 yıldan fazla hürriyeti bağlayıcı cezaya </w:t>
      </w:r>
      <w:r w:rsidR="00742C91" w:rsidRPr="009C475E">
        <w:t>mahkûm</w:t>
      </w:r>
      <w:r w:rsidRPr="009C475E">
        <w:t xml:space="preserve"> olanlar</w:t>
      </w:r>
      <w:r w:rsidR="004476A1">
        <w:t xml:space="preserve"> kültür ve tabiat varlıklarını koruma kanunu kapsamında</w:t>
      </w:r>
      <w:r w:rsidRPr="009C475E">
        <w:t xml:space="preserve"> </w:t>
      </w:r>
      <w:r w:rsidR="004476A1">
        <w:t xml:space="preserve">ceza alanlar </w:t>
      </w:r>
      <w:r w:rsidRPr="009C475E">
        <w:t>ihaleye katılamazlar.)</w:t>
      </w:r>
    </w:p>
    <w:p w:rsidR="00A13AC0" w:rsidRPr="00A13AC0" w:rsidRDefault="004476A1" w:rsidP="00A13AC0">
      <w:pPr>
        <w:spacing w:after="240" w:line="300" w:lineRule="atLeast"/>
        <w:jc w:val="both"/>
      </w:pPr>
      <w:r>
        <w:rPr>
          <w:b/>
          <w:bCs/>
        </w:rPr>
        <w:lastRenderedPageBreak/>
        <w:t>6</w:t>
      </w:r>
      <w:r w:rsidR="009C475E">
        <w:rPr>
          <w:b/>
          <w:bCs/>
        </w:rPr>
        <w:t>.</w:t>
      </w:r>
      <w:r w:rsidR="009C475E" w:rsidRPr="009C475E">
        <w:t xml:space="preserve"> </w:t>
      </w:r>
      <w:r>
        <w:t xml:space="preserve">Bu işe ilişkin; </w:t>
      </w:r>
      <w:r w:rsidR="00742C91" w:rsidRPr="00742C91">
        <w:t>Tahmini bedel</w:t>
      </w:r>
      <w:r>
        <w:t xml:space="preserve"> </w:t>
      </w:r>
      <w:r w:rsidR="00F307B0">
        <w:t>36</w:t>
      </w:r>
      <w:r w:rsidR="00CC5FFC" w:rsidRPr="0023750A">
        <w:t>.</w:t>
      </w:r>
      <w:r w:rsidR="002E0804">
        <w:t>000</w:t>
      </w:r>
      <w:r w:rsidR="00CC5FFC">
        <w:t xml:space="preserve"> TL(</w:t>
      </w:r>
      <w:r w:rsidR="00F307B0">
        <w:t>otuzaltıbin</w:t>
      </w:r>
      <w:r>
        <w:t xml:space="preserve">) 3 yıllık </w:t>
      </w:r>
      <w:r w:rsidR="009C475E" w:rsidRPr="009C475E">
        <w:t>tespit edilmiştir.</w:t>
      </w:r>
    </w:p>
    <w:p w:rsidR="00A13AC0" w:rsidRDefault="009C475E" w:rsidP="00A26F5C">
      <w:pPr>
        <w:widowControl w:val="0"/>
        <w:jc w:val="both"/>
      </w:pPr>
      <w:r w:rsidRPr="009C475E">
        <w:rPr>
          <w:b/>
        </w:rPr>
        <w:t xml:space="preserve">*** </w:t>
      </w:r>
      <w:r w:rsidRPr="009C475E">
        <w:t>Bu işe ilişkin en az</w:t>
      </w:r>
      <w:r w:rsidR="004476A1">
        <w:rPr>
          <w:color w:val="FF0000"/>
        </w:rPr>
        <w:t xml:space="preserve"> </w:t>
      </w:r>
      <w:r w:rsidR="00F307B0">
        <w:t>36</w:t>
      </w:r>
      <w:r w:rsidR="00F4628F">
        <w:t>0</w:t>
      </w:r>
      <w:r w:rsidR="002E0804">
        <w:t xml:space="preserve"> </w:t>
      </w:r>
      <w:r w:rsidR="004476A1">
        <w:t xml:space="preserve">TL </w:t>
      </w:r>
      <w:r w:rsidRPr="009C475E">
        <w:t>Geçici Teminat alınacaktır</w:t>
      </w:r>
      <w:r w:rsidR="00A13AC0" w:rsidRPr="00A13AC0">
        <w:t xml:space="preserve"> </w:t>
      </w:r>
      <w:r w:rsidR="00A13AC0">
        <w:t xml:space="preserve">Bankalardan alınacak teminat </w:t>
      </w:r>
      <w:r w:rsidR="00A13AC0" w:rsidRPr="002457EB">
        <w:t>mektupları komisyona, nakit yatırılmak istenen teminatlar Defterdarlık Muhasebe Müdürlüğüne yatırılarak makbuzu İhale komisyonuna sunulacaktır.</w:t>
      </w:r>
    </w:p>
    <w:p w:rsidR="00A13AC0" w:rsidRPr="002457EB" w:rsidRDefault="00A13AC0" w:rsidP="00A13AC0">
      <w:pPr>
        <w:widowControl w:val="0"/>
        <w:ind w:firstLine="425"/>
        <w:jc w:val="both"/>
      </w:pPr>
    </w:p>
    <w:p w:rsidR="009C475E" w:rsidRDefault="009C475E" w:rsidP="00A13AC0">
      <w:pPr>
        <w:jc w:val="both"/>
      </w:pPr>
      <w:r w:rsidRPr="009C475E">
        <w:t>*** Geçici teminatın, mevduat veya katılım bankalarından alınacak süresiz geçici teminat mektubu ile verilmesi halinde mektubun şekil ve içer</w:t>
      </w:r>
      <w:r>
        <w:t>iğinin 2886 s</w:t>
      </w:r>
      <w:r w:rsidRPr="009C475E">
        <w:t>ayılı Kanunun 27. maddesi ve bu kanun uyarınca yayınlamış Devlet İhale Genelgelerinde belirtilen şartları taşıması gerekmektedir.</w:t>
      </w:r>
    </w:p>
    <w:p w:rsidR="00A13AC0" w:rsidRPr="009C475E" w:rsidRDefault="00A13AC0" w:rsidP="00A13AC0">
      <w:pPr>
        <w:jc w:val="both"/>
      </w:pPr>
    </w:p>
    <w:p w:rsidR="009C475E" w:rsidRDefault="00A26F5C" w:rsidP="00A13AC0">
      <w:pPr>
        <w:jc w:val="both"/>
      </w:pPr>
      <w:r>
        <w:rPr>
          <w:b/>
          <w:bCs/>
        </w:rPr>
        <w:t>7</w:t>
      </w:r>
      <w:r w:rsidR="009C475E">
        <w:rPr>
          <w:b/>
          <w:bCs/>
        </w:rPr>
        <w:t>.</w:t>
      </w:r>
      <w:r w:rsidR="009C475E" w:rsidRPr="009C475E">
        <w:t xml:space="preserve"> İhale konusu işin tamamı veya bir kısmı alt yüklenicilere yaptırılamaz.</w:t>
      </w:r>
    </w:p>
    <w:p w:rsidR="00A13AC0" w:rsidRPr="009C475E" w:rsidRDefault="00A13AC0" w:rsidP="00A13AC0">
      <w:pPr>
        <w:jc w:val="both"/>
      </w:pPr>
    </w:p>
    <w:p w:rsidR="009C475E" w:rsidRDefault="00A26F5C" w:rsidP="00A13AC0">
      <w:pPr>
        <w:jc w:val="both"/>
      </w:pPr>
      <w:r>
        <w:rPr>
          <w:b/>
          <w:bCs/>
        </w:rPr>
        <w:t>8</w:t>
      </w:r>
      <w:r w:rsidR="009C475E">
        <w:rPr>
          <w:b/>
          <w:bCs/>
        </w:rPr>
        <w:t>.</w:t>
      </w:r>
      <w:r w:rsidR="009C475E" w:rsidRPr="009C475E">
        <w:t xml:space="preserve"> İhale </w:t>
      </w:r>
      <w:r w:rsidR="00A13AC0" w:rsidRPr="002457EB">
        <w:t xml:space="preserve">Şartname ve ekleri, Uşak İl Kültür ve Turizm Müdürlüğünde bedelsiz olarak görülebilir. Ancak, ihaleye teklif verecek </w:t>
      </w:r>
      <w:r w:rsidR="00E14453" w:rsidRPr="002457EB">
        <w:t>olanların idarece</w:t>
      </w:r>
      <w:r w:rsidR="00A13AC0" w:rsidRPr="002457EB">
        <w:t xml:space="preserve"> onaylı ihale dokümanını satın alması zo</w:t>
      </w:r>
      <w:r w:rsidR="00F4628F">
        <w:t>runludur. İhale dokuman bedeli 100,00 (yüz</w:t>
      </w:r>
      <w:r w:rsidR="00A13AC0" w:rsidRPr="002457EB">
        <w:t>) TL’dir. Söz</w:t>
      </w:r>
      <w:r w:rsidR="00E14453">
        <w:t xml:space="preserve"> </w:t>
      </w:r>
      <w:r w:rsidR="00A13AC0" w:rsidRPr="002457EB">
        <w:t xml:space="preserve">konusu bedel Kültür ve Turizm Bakanlığı DÖSİMM’in Ziraat Bankası </w:t>
      </w:r>
      <w:r w:rsidR="00E14453" w:rsidRPr="002457EB">
        <w:t xml:space="preserve">nezdindeki </w:t>
      </w:r>
      <w:r w:rsidR="00E14453" w:rsidRPr="00E14453">
        <w:t>TR 4100 0100 1745 0348 3170 552</w:t>
      </w:r>
      <w:r w:rsidR="00E14453">
        <w:t>8</w:t>
      </w:r>
      <w:r w:rsidR="00A13AC0" w:rsidRPr="002457EB">
        <w:t xml:space="preserve"> nolu IBAN hesabına yatırılacak ve dekontu teklif zarfı içinde sunulacaktır. </w:t>
      </w:r>
    </w:p>
    <w:p w:rsidR="00A13AC0" w:rsidRPr="009C475E" w:rsidRDefault="00A13AC0" w:rsidP="00A13AC0">
      <w:pPr>
        <w:jc w:val="both"/>
      </w:pPr>
    </w:p>
    <w:p w:rsidR="009C475E" w:rsidRDefault="00A26F5C" w:rsidP="00A13AC0">
      <w:pPr>
        <w:jc w:val="both"/>
      </w:pPr>
      <w:r>
        <w:rPr>
          <w:b/>
          <w:bCs/>
        </w:rPr>
        <w:t>9</w:t>
      </w:r>
      <w:r w:rsidR="009C475E" w:rsidRPr="009C475E">
        <w:rPr>
          <w:b/>
          <w:bCs/>
        </w:rPr>
        <w:t>.</w:t>
      </w:r>
      <w:r w:rsidR="009C475E" w:rsidRPr="009C475E">
        <w:t xml:space="preserve"> Teklifler, ihale tarih ve saatine kadar </w:t>
      </w:r>
      <w:r w:rsidR="00A13AC0">
        <w:t>Ünalan Mh. Hakkı Yağcı Cad. No:56 Uşak, adresinde bulunan Uşak İl Kültür ve Turizm Müdürlüğü</w:t>
      </w:r>
      <w:r w:rsidR="009C475E" w:rsidRPr="009C475E">
        <w:t xml:space="preserve"> adresine elden teslim edilebileceği gibi, aynı adrese iadeli taahhütlü posta vasıtasıyla da gönderilebilir. Postadaki gecikmeler dikkate alınmaz. </w:t>
      </w:r>
    </w:p>
    <w:p w:rsidR="00A13AC0" w:rsidRPr="009C475E" w:rsidRDefault="00A13AC0" w:rsidP="00A13AC0">
      <w:pPr>
        <w:jc w:val="both"/>
      </w:pPr>
    </w:p>
    <w:p w:rsidR="009C475E" w:rsidRDefault="00A26F5C" w:rsidP="00A13AC0">
      <w:pPr>
        <w:jc w:val="both"/>
      </w:pPr>
      <w:r>
        <w:rPr>
          <w:b/>
        </w:rPr>
        <w:t>10</w:t>
      </w:r>
      <w:r w:rsidR="009C475E">
        <w:rPr>
          <w:b/>
        </w:rPr>
        <w:t xml:space="preserve">. </w:t>
      </w:r>
      <w:r w:rsidR="009C475E" w:rsidRPr="009C475E">
        <w:t>İhale Komisyonu ihaleyi yapıp yapmamakta serbesttir.</w:t>
      </w:r>
    </w:p>
    <w:p w:rsidR="00A13AC0" w:rsidRPr="009C475E" w:rsidRDefault="00A13AC0" w:rsidP="00A13AC0">
      <w:pPr>
        <w:jc w:val="both"/>
        <w:rPr>
          <w:b/>
        </w:rPr>
      </w:pPr>
    </w:p>
    <w:p w:rsidR="009C475E" w:rsidRDefault="00A26F5C" w:rsidP="00A13AC0">
      <w:pPr>
        <w:pStyle w:val="AralkYok"/>
        <w:jc w:val="both"/>
      </w:pPr>
      <w:r>
        <w:rPr>
          <w:b/>
        </w:rPr>
        <w:t>11</w:t>
      </w:r>
      <w:r w:rsidR="009C475E" w:rsidRPr="009C475E">
        <w:rPr>
          <w:b/>
        </w:rPr>
        <w:t>.</w:t>
      </w:r>
      <w:r w:rsidR="009C475E" w:rsidRPr="009C475E">
        <w:t xml:space="preserve"> </w:t>
      </w:r>
      <w:r w:rsidR="004E3F14">
        <w:t xml:space="preserve">İşin yapılacağı yerin görülmesi; </w:t>
      </w:r>
      <w:r w:rsidR="009C475E" w:rsidRPr="009C475E">
        <w:t xml:space="preserve">İstekli veya temsilcilerinin işin yapılacağı yeri ve çevresini gezmek, inceleme yapmak, teklifini hazırlamak ve taahhüde girmek için gerekli olabilecek tüm bilgileri temin etmek isteklinin sorumluluğundadır. </w:t>
      </w:r>
    </w:p>
    <w:p w:rsidR="00A13AC0" w:rsidRPr="009C475E" w:rsidRDefault="00A13AC0" w:rsidP="00A13AC0">
      <w:pPr>
        <w:jc w:val="both"/>
        <w:rPr>
          <w:noProof/>
        </w:rPr>
      </w:pPr>
    </w:p>
    <w:p w:rsidR="00C349A5" w:rsidRDefault="00A26F5C" w:rsidP="00C349A5">
      <w:pPr>
        <w:widowControl w:val="0"/>
        <w:jc w:val="both"/>
      </w:pPr>
      <w:r>
        <w:rPr>
          <w:b/>
        </w:rPr>
        <w:t>12</w:t>
      </w:r>
      <w:r w:rsidR="009C475E" w:rsidRPr="009C475E">
        <w:rPr>
          <w:b/>
        </w:rPr>
        <w:t>.Diğer hususlar:</w:t>
      </w:r>
      <w:r w:rsidR="009C475E" w:rsidRPr="009C475E">
        <w:rPr>
          <w:rStyle w:val="FontStyle11"/>
          <w:color w:val="00B0F0"/>
          <w:sz w:val="24"/>
          <w:szCs w:val="24"/>
        </w:rPr>
        <w:t xml:space="preserve"> </w:t>
      </w:r>
      <w:r w:rsidR="00C349A5">
        <w:t>İ</w:t>
      </w:r>
      <w:r w:rsidR="00C349A5" w:rsidRPr="002457EB">
        <w:t>stekliler tarafından bildirilecek en uygun bedel tespit edilerek</w:t>
      </w:r>
      <w:r w:rsidR="00C349A5" w:rsidRPr="009C475E">
        <w:rPr>
          <w:spacing w:val="-12"/>
        </w:rPr>
        <w:t xml:space="preserve"> </w:t>
      </w:r>
      <w:r w:rsidR="00C349A5">
        <w:rPr>
          <w:spacing w:val="-12"/>
        </w:rPr>
        <w:t>i</w:t>
      </w:r>
      <w:r w:rsidR="009C475E" w:rsidRPr="009C475E">
        <w:rPr>
          <w:rStyle w:val="FontStyle11"/>
          <w:sz w:val="24"/>
          <w:szCs w:val="24"/>
        </w:rPr>
        <w:t>halenin onaylanmasına ilişkin kararın müstecire tebliğ edildiği tarihten itibaren on beş gün içinde</w:t>
      </w:r>
      <w:r w:rsidR="00C349A5" w:rsidRPr="002457EB">
        <w:t xml:space="preserve">, ihale üzerinde kalan ile İl Müdürlüğü arasında sözleşme imzalanacaktır. Yıllık kira bedeli aylık dönemler halinde,  dönem başında ayın ilk haftası içinde en son yedinci </w:t>
      </w:r>
      <w:r w:rsidRPr="002457EB">
        <w:t>günü peşin</w:t>
      </w:r>
      <w:r w:rsidR="00C349A5" w:rsidRPr="002457EB">
        <w:t xml:space="preserve"> olarak ödenecektir. İlk ay kira bedeli ise, ihalenin onaylanmasına ilişkin kararın yükleniciye t</w:t>
      </w:r>
      <w:r w:rsidR="002E0804">
        <w:t>ebliğ tarihinden itibaren otuz</w:t>
      </w:r>
      <w:r w:rsidR="00C349A5" w:rsidRPr="002457EB">
        <w:t xml:space="preserve"> gün içinde peşin olarak ödenir.</w:t>
      </w:r>
    </w:p>
    <w:p w:rsidR="00F676AE" w:rsidRPr="002457EB" w:rsidRDefault="00F676AE" w:rsidP="00C349A5">
      <w:pPr>
        <w:widowControl w:val="0"/>
        <w:jc w:val="both"/>
      </w:pPr>
    </w:p>
    <w:p w:rsidR="009C475E" w:rsidRPr="009C475E" w:rsidRDefault="00A26F5C" w:rsidP="00C349A5">
      <w:pPr>
        <w:jc w:val="both"/>
      </w:pPr>
      <w:r>
        <w:rPr>
          <w:b/>
        </w:rPr>
        <w:t>13</w:t>
      </w:r>
      <w:r w:rsidR="009C475E" w:rsidRPr="009C475E">
        <w:rPr>
          <w:b/>
        </w:rPr>
        <w:t>.</w:t>
      </w:r>
      <w:r w:rsidR="009C475E" w:rsidRPr="009C475E">
        <w:t>İlan ve Taşınmaz Mal Kira Şartnamesi arasında çelişki oluşursa, Taşınmaz Mal Kira Şartnamesi hükümleri geçe</w:t>
      </w:r>
      <w:r w:rsidR="004E3F14">
        <w:t xml:space="preserve">rli olacaktır. Konu ile ilgili </w:t>
      </w:r>
      <w:r w:rsidR="00C349A5">
        <w:t>Uşak İl Kültür ve Turizm Müdürlüğünden bilgi alınabilir.</w:t>
      </w:r>
    </w:p>
    <w:p w:rsidR="009C475E" w:rsidRDefault="009C475E" w:rsidP="00A13AC0">
      <w:pPr>
        <w:jc w:val="both"/>
        <w:rPr>
          <w:color w:val="666666"/>
        </w:rPr>
      </w:pPr>
    </w:p>
    <w:p w:rsidR="00B97BE7" w:rsidRPr="000E1BB2" w:rsidRDefault="00B97BE7" w:rsidP="00A13AC0">
      <w:pPr>
        <w:jc w:val="both"/>
        <w:rPr>
          <w:b/>
          <w:i/>
        </w:rPr>
      </w:pPr>
    </w:p>
    <w:p w:rsidR="000E1BB2" w:rsidRPr="00F676AE" w:rsidRDefault="00F676AE" w:rsidP="00A13AC0">
      <w:pPr>
        <w:jc w:val="both"/>
        <w:rPr>
          <w:b/>
        </w:rPr>
      </w:pPr>
      <w:r w:rsidRPr="00F676AE">
        <w:rPr>
          <w:b/>
        </w:rPr>
        <w:t>İLAN OLUNUR</w:t>
      </w:r>
      <w:r>
        <w:rPr>
          <w:b/>
        </w:rPr>
        <w:t>.</w:t>
      </w:r>
    </w:p>
    <w:p w:rsidR="00C349A5" w:rsidRDefault="00C349A5" w:rsidP="00A13AC0">
      <w:pPr>
        <w:jc w:val="both"/>
      </w:pPr>
    </w:p>
    <w:p w:rsidR="00C349A5" w:rsidRDefault="00C349A5" w:rsidP="00A13AC0">
      <w:pPr>
        <w:jc w:val="both"/>
      </w:pPr>
    </w:p>
    <w:p w:rsidR="00C349A5" w:rsidRDefault="00C349A5" w:rsidP="00A13AC0">
      <w:pPr>
        <w:jc w:val="both"/>
      </w:pPr>
    </w:p>
    <w:p w:rsidR="00C349A5" w:rsidRDefault="00C349A5" w:rsidP="00A13AC0">
      <w:pPr>
        <w:jc w:val="both"/>
      </w:pPr>
    </w:p>
    <w:p w:rsidR="00C349A5" w:rsidRDefault="00C349A5" w:rsidP="00A13AC0">
      <w:pPr>
        <w:jc w:val="both"/>
      </w:pPr>
    </w:p>
    <w:p w:rsidR="00C349A5" w:rsidRDefault="00C349A5" w:rsidP="00A13AC0">
      <w:pPr>
        <w:jc w:val="both"/>
      </w:pPr>
    </w:p>
    <w:p w:rsidR="00C349A5" w:rsidRDefault="00C349A5" w:rsidP="00A13AC0">
      <w:pPr>
        <w:jc w:val="both"/>
      </w:pPr>
    </w:p>
    <w:sectPr w:rsidR="00C349A5" w:rsidSect="004E3F14">
      <w:footerReference w:type="default" r:id="rId7"/>
      <w:pgSz w:w="11906" w:h="16838"/>
      <w:pgMar w:top="992" w:right="709" w:bottom="992" w:left="1191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2A" w:rsidRDefault="00D6332A" w:rsidP="009C475E">
      <w:r>
        <w:separator/>
      </w:r>
    </w:p>
  </w:endnote>
  <w:endnote w:type="continuationSeparator" w:id="0">
    <w:p w:rsidR="00D6332A" w:rsidRDefault="00D6332A" w:rsidP="009C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077992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475E" w:rsidRPr="009C475E" w:rsidRDefault="009C475E" w:rsidP="009C475E">
            <w:pPr>
              <w:pStyle w:val="Altbilgi"/>
              <w:pBdr>
                <w:bottom w:val="single" w:sz="4" w:space="1" w:color="auto"/>
              </w:pBdr>
              <w:jc w:val="right"/>
              <w:rPr>
                <w:sz w:val="20"/>
                <w:szCs w:val="20"/>
              </w:rPr>
            </w:pPr>
          </w:p>
          <w:p w:rsidR="009C475E" w:rsidRPr="009C475E" w:rsidRDefault="009C475E">
            <w:pPr>
              <w:pStyle w:val="Altbilgi"/>
              <w:jc w:val="right"/>
              <w:rPr>
                <w:sz w:val="20"/>
                <w:szCs w:val="20"/>
              </w:rPr>
            </w:pPr>
            <w:r w:rsidRPr="009C475E">
              <w:rPr>
                <w:sz w:val="20"/>
                <w:szCs w:val="20"/>
              </w:rPr>
              <w:t xml:space="preserve">Sayfa </w:t>
            </w:r>
            <w:r w:rsidR="00FB6FFA" w:rsidRPr="009C475E">
              <w:rPr>
                <w:b/>
                <w:bCs/>
                <w:sz w:val="20"/>
                <w:szCs w:val="20"/>
              </w:rPr>
              <w:fldChar w:fldCharType="begin"/>
            </w:r>
            <w:r w:rsidRPr="009C475E">
              <w:rPr>
                <w:b/>
                <w:bCs/>
                <w:sz w:val="20"/>
                <w:szCs w:val="20"/>
              </w:rPr>
              <w:instrText>PAGE</w:instrText>
            </w:r>
            <w:r w:rsidR="00FB6FFA" w:rsidRPr="009C475E">
              <w:rPr>
                <w:b/>
                <w:bCs/>
                <w:sz w:val="20"/>
                <w:szCs w:val="20"/>
              </w:rPr>
              <w:fldChar w:fldCharType="separate"/>
            </w:r>
            <w:r w:rsidR="00D2751D">
              <w:rPr>
                <w:b/>
                <w:bCs/>
                <w:noProof/>
                <w:sz w:val="20"/>
                <w:szCs w:val="20"/>
              </w:rPr>
              <w:t>2</w:t>
            </w:r>
            <w:r w:rsidR="00FB6FFA" w:rsidRPr="009C475E">
              <w:rPr>
                <w:b/>
                <w:bCs/>
                <w:sz w:val="20"/>
                <w:szCs w:val="20"/>
              </w:rPr>
              <w:fldChar w:fldCharType="end"/>
            </w:r>
            <w:r w:rsidRPr="009C475E">
              <w:rPr>
                <w:sz w:val="20"/>
                <w:szCs w:val="20"/>
              </w:rPr>
              <w:t xml:space="preserve"> / </w:t>
            </w:r>
            <w:r w:rsidR="00FB6FFA" w:rsidRPr="009C475E">
              <w:rPr>
                <w:b/>
                <w:bCs/>
                <w:sz w:val="20"/>
                <w:szCs w:val="20"/>
              </w:rPr>
              <w:fldChar w:fldCharType="begin"/>
            </w:r>
            <w:r w:rsidRPr="009C475E">
              <w:rPr>
                <w:b/>
                <w:bCs/>
                <w:sz w:val="20"/>
                <w:szCs w:val="20"/>
              </w:rPr>
              <w:instrText>NUMPAGES</w:instrText>
            </w:r>
            <w:r w:rsidR="00FB6FFA" w:rsidRPr="009C475E">
              <w:rPr>
                <w:b/>
                <w:bCs/>
                <w:sz w:val="20"/>
                <w:szCs w:val="20"/>
              </w:rPr>
              <w:fldChar w:fldCharType="separate"/>
            </w:r>
            <w:r w:rsidR="00D2751D">
              <w:rPr>
                <w:b/>
                <w:bCs/>
                <w:noProof/>
                <w:sz w:val="20"/>
                <w:szCs w:val="20"/>
              </w:rPr>
              <w:t>2</w:t>
            </w:r>
            <w:r w:rsidR="00FB6FFA" w:rsidRPr="009C475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C475E" w:rsidRPr="009C475E" w:rsidRDefault="009C475E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2A" w:rsidRDefault="00D6332A" w:rsidP="009C475E">
      <w:r>
        <w:separator/>
      </w:r>
    </w:p>
  </w:footnote>
  <w:footnote w:type="continuationSeparator" w:id="0">
    <w:p w:rsidR="00D6332A" w:rsidRDefault="00D6332A" w:rsidP="009C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B4"/>
    <w:rsid w:val="00037B65"/>
    <w:rsid w:val="000D17AB"/>
    <w:rsid w:val="000E067E"/>
    <w:rsid w:val="000E1BB2"/>
    <w:rsid w:val="00145A07"/>
    <w:rsid w:val="00183B8D"/>
    <w:rsid w:val="001B087A"/>
    <w:rsid w:val="001D0F61"/>
    <w:rsid w:val="001F09E3"/>
    <w:rsid w:val="001F3A41"/>
    <w:rsid w:val="0023750A"/>
    <w:rsid w:val="00247517"/>
    <w:rsid w:val="00264149"/>
    <w:rsid w:val="00270815"/>
    <w:rsid w:val="002D7480"/>
    <w:rsid w:val="002E0804"/>
    <w:rsid w:val="00341E73"/>
    <w:rsid w:val="00351C2D"/>
    <w:rsid w:val="00376226"/>
    <w:rsid w:val="004476A1"/>
    <w:rsid w:val="00454239"/>
    <w:rsid w:val="00483F2A"/>
    <w:rsid w:val="00490838"/>
    <w:rsid w:val="00492D37"/>
    <w:rsid w:val="004A3C57"/>
    <w:rsid w:val="004B6B1B"/>
    <w:rsid w:val="004C7912"/>
    <w:rsid w:val="004E3F14"/>
    <w:rsid w:val="004F43E8"/>
    <w:rsid w:val="00527535"/>
    <w:rsid w:val="00545845"/>
    <w:rsid w:val="00575BC0"/>
    <w:rsid w:val="005B03EE"/>
    <w:rsid w:val="005C5EF4"/>
    <w:rsid w:val="005D7C51"/>
    <w:rsid w:val="0060678E"/>
    <w:rsid w:val="006A054A"/>
    <w:rsid w:val="006C57CA"/>
    <w:rsid w:val="006F18BF"/>
    <w:rsid w:val="00720CE8"/>
    <w:rsid w:val="00725EDB"/>
    <w:rsid w:val="00742637"/>
    <w:rsid w:val="00742C91"/>
    <w:rsid w:val="0074332B"/>
    <w:rsid w:val="00756450"/>
    <w:rsid w:val="0076633E"/>
    <w:rsid w:val="00795EB5"/>
    <w:rsid w:val="007F206A"/>
    <w:rsid w:val="007F72D4"/>
    <w:rsid w:val="0086013F"/>
    <w:rsid w:val="00892E5B"/>
    <w:rsid w:val="008C2D17"/>
    <w:rsid w:val="00911924"/>
    <w:rsid w:val="00916EDB"/>
    <w:rsid w:val="00922BCB"/>
    <w:rsid w:val="00931941"/>
    <w:rsid w:val="00934204"/>
    <w:rsid w:val="009935EE"/>
    <w:rsid w:val="009A7190"/>
    <w:rsid w:val="009C475E"/>
    <w:rsid w:val="009C506C"/>
    <w:rsid w:val="00A13AC0"/>
    <w:rsid w:val="00A26F5C"/>
    <w:rsid w:val="00A54167"/>
    <w:rsid w:val="00A62EFA"/>
    <w:rsid w:val="00A66407"/>
    <w:rsid w:val="00A72B22"/>
    <w:rsid w:val="00AB1547"/>
    <w:rsid w:val="00AB3E94"/>
    <w:rsid w:val="00AC163A"/>
    <w:rsid w:val="00AC77F7"/>
    <w:rsid w:val="00AF3501"/>
    <w:rsid w:val="00B46CDF"/>
    <w:rsid w:val="00B50E71"/>
    <w:rsid w:val="00B7362B"/>
    <w:rsid w:val="00B97BE7"/>
    <w:rsid w:val="00BF59C7"/>
    <w:rsid w:val="00C21658"/>
    <w:rsid w:val="00C349A5"/>
    <w:rsid w:val="00C609B4"/>
    <w:rsid w:val="00C75F73"/>
    <w:rsid w:val="00CA5A83"/>
    <w:rsid w:val="00CC5FFC"/>
    <w:rsid w:val="00CD359F"/>
    <w:rsid w:val="00CF5026"/>
    <w:rsid w:val="00D2751D"/>
    <w:rsid w:val="00D41CB4"/>
    <w:rsid w:val="00D53BEA"/>
    <w:rsid w:val="00D6332A"/>
    <w:rsid w:val="00D95CAB"/>
    <w:rsid w:val="00DA093C"/>
    <w:rsid w:val="00DD0160"/>
    <w:rsid w:val="00DF1F88"/>
    <w:rsid w:val="00E035EE"/>
    <w:rsid w:val="00E14453"/>
    <w:rsid w:val="00E50738"/>
    <w:rsid w:val="00E85564"/>
    <w:rsid w:val="00E954D5"/>
    <w:rsid w:val="00E958D2"/>
    <w:rsid w:val="00EA683D"/>
    <w:rsid w:val="00EB0C8E"/>
    <w:rsid w:val="00F2601E"/>
    <w:rsid w:val="00F307B0"/>
    <w:rsid w:val="00F356E0"/>
    <w:rsid w:val="00F4628F"/>
    <w:rsid w:val="00F676AE"/>
    <w:rsid w:val="00F77C9E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15"/>
    <w:rPr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9C475E"/>
    <w:pPr>
      <w:keepNext/>
      <w:widowControl w:val="0"/>
      <w:spacing w:after="120"/>
      <w:ind w:firstLine="567"/>
      <w:jc w:val="center"/>
      <w:outlineLvl w:val="4"/>
    </w:pPr>
    <w:rPr>
      <w:b/>
      <w:kern w:val="24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815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A62EFA"/>
  </w:style>
  <w:style w:type="character" w:customStyle="1" w:styleId="idarebilgi">
    <w:name w:val="idarebilgi"/>
    <w:basedOn w:val="VarsaylanParagrafYazTipi"/>
    <w:rsid w:val="00A62EFA"/>
  </w:style>
  <w:style w:type="character" w:customStyle="1" w:styleId="ilanbaslik">
    <w:name w:val="ilanbaslik"/>
    <w:basedOn w:val="VarsaylanParagrafYazTipi"/>
    <w:rsid w:val="00A62EFA"/>
  </w:style>
  <w:style w:type="paragraph" w:styleId="NormalWeb">
    <w:name w:val="Normal (Web)"/>
    <w:basedOn w:val="Normal"/>
    <w:uiPriority w:val="99"/>
    <w:unhideWhenUsed/>
    <w:rsid w:val="00A62EFA"/>
    <w:pPr>
      <w:spacing w:before="100" w:beforeAutospacing="1" w:after="100" w:afterAutospacing="1"/>
    </w:pPr>
  </w:style>
  <w:style w:type="character" w:styleId="Gl">
    <w:name w:val="Strong"/>
    <w:qFormat/>
    <w:rsid w:val="00A62EFA"/>
    <w:rPr>
      <w:b/>
      <w:bCs/>
    </w:rPr>
  </w:style>
  <w:style w:type="character" w:customStyle="1" w:styleId="Balk5Char">
    <w:name w:val="Başlık 5 Char"/>
    <w:basedOn w:val="VarsaylanParagrafYazTipi"/>
    <w:link w:val="Balk5"/>
    <w:rsid w:val="009C475E"/>
    <w:rPr>
      <w:b/>
      <w:kern w:val="24"/>
      <w:sz w:val="22"/>
      <w:lang w:eastAsia="tr-TR"/>
    </w:rPr>
  </w:style>
  <w:style w:type="character" w:customStyle="1" w:styleId="FontStyle11">
    <w:name w:val="Font Style11"/>
    <w:rsid w:val="009C475E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C47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475E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47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475E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9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9E3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15"/>
    <w:rPr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9C475E"/>
    <w:pPr>
      <w:keepNext/>
      <w:widowControl w:val="0"/>
      <w:spacing w:after="120"/>
      <w:ind w:firstLine="567"/>
      <w:jc w:val="center"/>
      <w:outlineLvl w:val="4"/>
    </w:pPr>
    <w:rPr>
      <w:b/>
      <w:kern w:val="24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815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A62EFA"/>
  </w:style>
  <w:style w:type="character" w:customStyle="1" w:styleId="idarebilgi">
    <w:name w:val="idarebilgi"/>
    <w:basedOn w:val="VarsaylanParagrafYazTipi"/>
    <w:rsid w:val="00A62EFA"/>
  </w:style>
  <w:style w:type="character" w:customStyle="1" w:styleId="ilanbaslik">
    <w:name w:val="ilanbaslik"/>
    <w:basedOn w:val="VarsaylanParagrafYazTipi"/>
    <w:rsid w:val="00A62EFA"/>
  </w:style>
  <w:style w:type="paragraph" w:styleId="NormalWeb">
    <w:name w:val="Normal (Web)"/>
    <w:basedOn w:val="Normal"/>
    <w:uiPriority w:val="99"/>
    <w:unhideWhenUsed/>
    <w:rsid w:val="00A62EFA"/>
    <w:pPr>
      <w:spacing w:before="100" w:beforeAutospacing="1" w:after="100" w:afterAutospacing="1"/>
    </w:pPr>
  </w:style>
  <w:style w:type="character" w:styleId="Gl">
    <w:name w:val="Strong"/>
    <w:qFormat/>
    <w:rsid w:val="00A62EFA"/>
    <w:rPr>
      <w:b/>
      <w:bCs/>
    </w:rPr>
  </w:style>
  <w:style w:type="character" w:customStyle="1" w:styleId="Balk5Char">
    <w:name w:val="Başlık 5 Char"/>
    <w:basedOn w:val="VarsaylanParagrafYazTipi"/>
    <w:link w:val="Balk5"/>
    <w:rsid w:val="009C475E"/>
    <w:rPr>
      <w:b/>
      <w:kern w:val="24"/>
      <w:sz w:val="22"/>
      <w:lang w:eastAsia="tr-TR"/>
    </w:rPr>
  </w:style>
  <w:style w:type="character" w:customStyle="1" w:styleId="FontStyle11">
    <w:name w:val="Font Style11"/>
    <w:rsid w:val="009C475E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C47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475E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47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475E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9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9E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müfettiş</dc:creator>
  <cp:lastModifiedBy>Hp_X</cp:lastModifiedBy>
  <cp:revision>2</cp:revision>
  <cp:lastPrinted>2019-09-19T09:59:00Z</cp:lastPrinted>
  <dcterms:created xsi:type="dcterms:W3CDTF">2021-03-08T12:03:00Z</dcterms:created>
  <dcterms:modified xsi:type="dcterms:W3CDTF">2021-03-08T12:03:00Z</dcterms:modified>
</cp:coreProperties>
</file>